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/>
        </w:rPr>
        <w:t>Методичні рекомендації щодо роботи педагогічних працівників закладів дошкільної освіти в оздоровчий період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Сучасні підходи до організації освітнього процесу в закладі дошкільної освіти передбачають інтеграцію завдань фізичного розвитку в усі види діяльності дошкільників, забезпечення умов для збереження фізичного, духовного та психічного здоров`я дітей. Особливо сприятливим часом для реалізації цих завдань є літній оздоровчий період.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Організація життєдіяльності дошкільників улітку вирізняється тим, що протягом цього періоду триває робота щодо реалізації завдань Базового компонента дошкільної освіти та чинних програм у різних видах діяльності дітей. Ефективним освітній процес буде, якщо планувати та здійснювати його, зважаючи на результати аналізу засвоєння програмового матеріалу дітьми за період навчального року.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Діяльність ЗДО у літній період здійснюється відповідно до таких документів: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«Санітарного регламенту для дошкільних навчальних закладів» (Наказ МОЗ України від 24.03.2016 р. №234);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«Про організацію фізкультурно-оздоровчої роботи в дошкільних навчальних закладах в літній період» (інструктивно-методичні рекомендації МОНУ від 25.05.2012 №119-413);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«Протиепідемічні заходи у закладах дошкільної освіти на період карантину у зв’язку з поширенням коронавірусної хвороби (COVID-19)» (постанова № 55 від 22.09.2020 р. Головного державного санітарного лікаря України).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Цими документами визначено зміст освітнього процесу ЗДО фізкультурно-оздоровчої роботи, надані рекомендації щодо організації оздоровчих заходів.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З 01 червня по 31 серпня триває літній оздоровчий період, під час якого освітня робота формується відповідно до інструктивно-методичних рекомендацій Міністерства освіти і науки України.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Орієнтовно, загальна тривалість канікул, під час яких заняття з вихованцями не проводяться, складає 90 календарних днів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Роботу закладу влітку регламентовано планом на літній оздоровчий період, що розробляють разом із планом роботи закладу на навчальний рік і затверджують у встановленому порядку.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Колектив обговорює шляхи реалізації плану на літній оздоровчий період, розв`язання пріоритетних завдань, ураховуючи ідеї та можливості кожного педагога, визначаючи його роль у підготовці та проведенні основних заходів.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Підготовка до літнього періоду – це благоустрій території закладу, зокрема дитячих майданчиків. Від цього залежить, наскільки якісно, цікаво, безпечно можна буде організувати різноманітні заходи з дітьми на свіжому повітрі, забезпечити загартування.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На початок оздоровчого періоду затверджують режим дня в усіх вікових групах. Дитяча діяльність (гра, праця, художньо-продуктивна діяльність) організовується на свіжому повітрі.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Розробляючи перспективний план, вихователеві слід пам</w:t>
      </w:r>
      <w:r>
        <w:rPr>
          <w:rFonts w:cs="Times New Roman" w:ascii="Times New Roman" w:hAnsi="Times New Roman"/>
          <w:color w:val="000000"/>
          <w:sz w:val="24"/>
          <w:szCs w:val="24"/>
        </w:rPr>
        <w:t>`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ятати, що в літній період бажано проводити на свіжому повітрі заняття з фізичного розвитку та художньо-продуктивної діяльності. Це допоможе створити у дітей радісний настрій, сприятиме позитивним емоціям, розумовій активності дітей. Решту програмових завдань доцільно розв`язувати в інших формах спеціально організованої та самостійної зайнятості дітей: під час спостережень, дослідів, бесід, слухання літературних творів, конструктивної, театралізованої діяльності.</w:t>
      </w:r>
    </w:p>
    <w:p>
      <w:pPr>
        <w:pStyle w:val="Normal"/>
        <w:shd w:val="clear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Модель календарного планування освітньої роботи з дітьми може бути різною: за режимними моментами, видами діяльності, лініями розвитку.</w:t>
      </w:r>
    </w:p>
    <w:p>
      <w:pPr>
        <w:pStyle w:val="Normal"/>
        <w:shd w:val="clear" w:fill="FFFFFF"/>
        <w:spacing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Пропонуємо орієнтовне змістове наповнення тематичних тижнів і днів для організації роботи з дітьми дошкільного віку (Додаток 1).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При організації життєдіяльності дітей у першу і другу половини дня передбачається також проведення: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- дослідів та спостережень на майданчику, вулиці, у куточку природи, лісі, полі, на луках;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- самостійної ігрової, художньої, рухової, пізнавальної, комунікативної діяльності;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- індивідуальної роботи з окремими вихованцями чи підгрупами по 2-4 дитини за різними змістовими напрямками освітньої роботи;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- читання, розповідання, інсценування творів художньої літератури, бесіди на морально-етичні, побутові, особистісні теми;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- різноманітних розваг: показ вистав у ляльковому, настільному, інших видах театру; дитячі концерти; фізкультурні, музичні, літературні дозвілля.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Протягом літнього оздоровчого періоду слід запланувати літні забави-ігри: змагання-поєдинки, ігри з вітрячками, паперовим змієм, пускання мильних бульбашок, цікава мотузочка, стрибунчики, веселий м’ячик (Додаток 3).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додатку 3 подано перелік ідеї для літніх розваг з дітьми, зокрема: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«природні ігри» (садівництво, створення букетів, полювання за кольорами, «натуральні» прикраси);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ігри із крейдою («крейдяне» мистецтво, малюнки за формою);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ігри з тінню («тіньові малюнки», театр тіней);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«вуличне» мистецтво;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шатро зі стрічок;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«живий» одяг;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халабудна педагогіка тощо.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Урізноманітнити дитячу діяльність дають змогу правильно підібрані виносні іграшки та обладнання (додаток 4).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Усі форми роботи з фізичного розвитку проводять також на свіжому повітрі. Основні завдання фізичного розвитку дошкільників реалізуються через фізкультурно-оздоровчу роботу, рухову активність у повсякденному житті та заняття з фізичної культури (додаток 5). Під час самостійної діяльності на свіжому повітрі необхідно контролювати та регулювати рухову активність дітей, щоб попередити їхню перевтому та перегрівання.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У літній період значна увага приділяється плануванню і проведенню освітньої роботи з безпеки життєдіяльності дітей: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- правил дорожнього руху;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- правил поведінки на вулицях, у транспорті, при зустрічах із незнайомими людьми;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- правил безпечної поведінки під час відпочинку на сонці, води, у лісі;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uk-UA"/>
        </w:rPr>
        <w:t>- правил користування електричними і газовими приладами;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- правил запобігання харчовим отруєнням і кишковим інфекціям та ін.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Вихователь планує та організовує самостійну діяльність дітей за їхнім вибором: образотворчу діяльність з використанням пластиліну, олівців; розфарбовування; конструювання з будівельного матеріалу, паперу, природного матеріалу тощо. </w:t>
      </w:r>
      <w:r>
        <w:rPr>
          <w:rFonts w:cs="Times New Roman" w:ascii="Times New Roman" w:hAnsi="Times New Roman"/>
          <w:color w:val="000000"/>
          <w:sz w:val="24"/>
          <w:szCs w:val="24"/>
        </w:rPr>
        <w:t>Обов’язково у плані відображається робота вихователя з питань привиття дітям культурно-гігієнічних навичок.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Робота з батьками – невід</w:t>
      </w:r>
      <w:r>
        <w:rPr>
          <w:rFonts w:cs="Times New Roman" w:ascii="Times New Roman" w:hAnsi="Times New Roman"/>
          <w:sz w:val="24"/>
          <w:szCs w:val="24"/>
        </w:rPr>
        <w:t>`</w:t>
      </w:r>
      <w:r>
        <w:rPr>
          <w:rFonts w:cs="Times New Roman" w:ascii="Times New Roman" w:hAnsi="Times New Roman"/>
          <w:sz w:val="24"/>
          <w:szCs w:val="24"/>
          <w:lang w:val="uk-UA"/>
        </w:rPr>
        <w:t>ємна важлива складова роботи закладу дошкільної освіти протягом всього року. У літній період робота з батьками набуває особливого значення, що обумовлено гарантуванням безпеки дітей, підготовкою до школи майбутніх першокласників, адаптацією новоприбулих дітей до умов дитячого садка. Крім того заходи для дітей у літній період набувають особливого виховного значення впливу за активної участі в них батьків.</w:t>
      </w:r>
    </w:p>
    <w:p>
      <w:pPr>
        <w:pStyle w:val="Font8"/>
        <w:spacing w:lineRule="auto" w:line="276" w:before="0" w:after="0"/>
        <w:ind w:firstLine="709"/>
        <w:jc w:val="both"/>
        <w:textAlignment w:val="baseline"/>
        <w:rPr/>
      </w:pPr>
      <w:r>
        <w:rPr>
          <w:sz w:val="24"/>
          <w:szCs w:val="24"/>
        </w:rPr>
        <w:t xml:space="preserve">Протягом оздоровчого періоду вихователі </w:t>
      </w:r>
      <w:r>
        <w:rPr>
          <w:sz w:val="24"/>
          <w:szCs w:val="24"/>
          <w:lang w:val="uk-UA"/>
        </w:rPr>
        <w:t>ЗДО</w:t>
      </w:r>
      <w:r>
        <w:rPr>
          <w:sz w:val="24"/>
          <w:szCs w:val="24"/>
        </w:rPr>
        <w:t xml:space="preserve"> максимально намагаються залучати батьків до співпраці. В</w:t>
      </w:r>
      <w:r>
        <w:rPr>
          <w:sz w:val="24"/>
          <w:szCs w:val="24"/>
          <w:lang w:val="uk-UA"/>
        </w:rPr>
        <w:t xml:space="preserve"> </w:t>
      </w:r>
      <w:hyperlink r:id="rId2">
        <w:r>
          <w:rPr>
            <w:rStyle w:val="Style14"/>
            <w:bCs/>
            <w:color w:val="000000"/>
            <w:sz w:val="24"/>
            <w:szCs w:val="24"/>
            <w:u w:val="none"/>
            <w:lang w:val="uk-UA"/>
          </w:rPr>
          <w:t xml:space="preserve">інструментах спілкування </w:t>
        </w:r>
      </w:hyperlink>
      <w:r>
        <w:rPr>
          <w:sz w:val="24"/>
          <w:szCs w:val="24"/>
          <w:shd w:fill="FFFFFF" w:val="clear"/>
          <w:lang w:val="uk-UA"/>
        </w:rPr>
        <w:t xml:space="preserve"> </w:t>
      </w:r>
      <w:r>
        <w:rPr>
          <w:sz w:val="24"/>
          <w:szCs w:val="24"/>
        </w:rPr>
        <w:t>для батьків</w:t>
      </w:r>
      <w:r>
        <w:rPr>
          <w:sz w:val="24"/>
          <w:szCs w:val="24"/>
          <w:lang w:val="uk-UA"/>
        </w:rPr>
        <w:t xml:space="preserve"> (Zoom,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messenger тощо</w:t>
      </w:r>
      <w:r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оприлюднювати інформацію </w:t>
      </w:r>
      <w:r>
        <w:rPr>
          <w:sz w:val="24"/>
          <w:szCs w:val="24"/>
        </w:rPr>
        <w:t>з рекомендаціями та порадами «Профілактика теплових та сонячних ударів», «Небезпечні комахи», «Правила поведінки у природі», «Безпека вас і ваших дітей: профілактика харчових отруєнь», «Обережно, гриби», «Якщо дитина заблукала», «Дитина і дорога», пров</w:t>
      </w:r>
      <w:r>
        <w:rPr>
          <w:sz w:val="24"/>
          <w:szCs w:val="24"/>
          <w:lang w:val="uk-UA"/>
        </w:rPr>
        <w:t>одити</w:t>
      </w:r>
      <w:r>
        <w:rPr>
          <w:sz w:val="24"/>
          <w:szCs w:val="24"/>
        </w:rPr>
        <w:t xml:space="preserve"> інструктажі з батьками «Відпочиваємо разом з малюками цікаво й змістовно», «Відпочиваємо біля водойми», «Отруйні рослини та ягоди».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color w:val="21409A"/>
          <w:sz w:val="28"/>
          <w:szCs w:val="28"/>
          <w:lang w:val="uk-UA"/>
        </w:rPr>
        <w:t>Організовувати літньо-оздоровчий період в закладі дошкільної освіти слід з неухильним виконанням карантинних вимог, які діють у даній місцевості.</w:t>
      </w:r>
    </w:p>
    <w:p>
      <w:pPr>
        <w:pStyle w:val="Normal"/>
        <w:spacing w:before="0" w:after="0"/>
        <w:ind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Додаток 1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16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16"/>
          <w:szCs w:val="28"/>
          <w:lang w:val="uk-UA"/>
        </w:rPr>
      </w:r>
    </w:p>
    <w:p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4"/>
        </w:rPr>
      </w:pPr>
      <w:r>
        <w:rPr>
          <w:sz w:val="28"/>
          <w:szCs w:val="24"/>
        </w:rPr>
        <w:t>Орієнтовний план освітньої роботи на літній період</w:t>
      </w:r>
    </w:p>
    <w:p>
      <w:pPr>
        <w:pStyle w:val="3"/>
        <w:numPr>
          <w:ilvl w:val="2"/>
          <w:numId w:val="2"/>
        </w:numPr>
        <w:spacing w:before="0" w:after="0"/>
        <w:jc w:val="center"/>
        <w:rPr/>
      </w:pPr>
      <w:r>
        <w:rPr>
          <w:sz w:val="28"/>
          <w:szCs w:val="24"/>
        </w:rPr>
        <w:t>в закладі дошкільної освіти</w:t>
      </w:r>
    </w:p>
    <w:p>
      <w:pPr>
        <w:pStyle w:val="Normal"/>
        <w:shd w:val="clear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mallCaps/>
          <w:sz w:val="18"/>
          <w:szCs w:val="24"/>
        </w:rPr>
      </w:pPr>
      <w:r>
        <w:rPr>
          <w:rFonts w:cs="Times New Roman" w:ascii="Times New Roman" w:hAnsi="Times New Roman"/>
          <w:b/>
          <w:smallCaps/>
          <w:sz w:val="18"/>
          <w:szCs w:val="24"/>
        </w:rPr>
      </w:r>
    </w:p>
    <w:tbl>
      <w:tblPr>
        <w:tblW w:w="10784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94"/>
        <w:gridCol w:w="2393"/>
        <w:gridCol w:w="7097"/>
      </w:tblGrid>
      <w:tr>
        <w:trPr/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Місяць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тижня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дня</w:t>
            </w:r>
          </w:p>
        </w:tc>
      </w:tr>
      <w:tr>
        <w:trPr/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Червень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щасливої дитини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захисту дітей.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Родинний вогник любові (день сім’ї). Потяг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дружби.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 турботи і любові (люди з обмеженими можливостями)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День імені. 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Тиждень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подорожі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 карти та глобусу. День моря. Смачні країни (піца, паста, галушки). День села та міста. «Власна» країна (створення власної країни). Йдемо в похід (день туризму).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Тиждень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веселих розваг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цирку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Ми — веселі жартівники.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 столом разом ми граєм, пазли, доміно збираєм» (настіл.-друк.ігри). Країна навпаки. Подорож до країни Леголандії. Геокешинг «У пошуках скарбів». Екологічний квест.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Тиждень кольорової мозаїки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 білої і чорної фарби (день в контурі, як жити без кольору). День синього кольору. День червоного кольору.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 жовтого кольору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 зеленого кольору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Липень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Тиждень спорту і здоров'я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спорту.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Роуп-скіппінг (день скакалки та м’яча)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Малі Олімпійські ігри. День футболу.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лікарських рослин. День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води і чистоти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День здоров'я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. В гостях у лікаря Пігулкіна.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Мудра казка - чарівниця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казкаря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(дитячі письменники)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Мандруємо казками. Мої улюблені казкові герої. Інсценуємо казки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. День казкових чудес у природі (Казки про рослинний світ). День казки про тварин. Улюблена справа малят – це загадки, дарує нам настрій – пошук відгадки.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Тиждень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дослідників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мильних бульбашок.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Земельні фантазії (д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ень грунту, глини і піску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Магніт-помічник.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Водні фантазії (вода, лід)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Кольорове омбре (створення нових кольорів)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Досліди.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Тиждень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спілкування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 природою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пасічника. Куточок лісу (день дерев)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Квітковий вернісаж. Брати наші менші – тварини (акції). День городника та садівника.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День захисника природи.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Український грінпіс (день захисника природи).</w:t>
            </w:r>
          </w:p>
        </w:tc>
      </w:tr>
      <w:tr>
        <w:trPr/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Серпень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Тиждень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 xml:space="preserve"> малих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знавц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ів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вікторин. День допитливості. День веселих математиків. День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хіп-хопу (музики)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Майстерня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юних екскурсоводів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гарних манер. День тканини та паперу. День металу, гуми, скла.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День хліба. День чомучок. Космічна подорож.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улюблених ігор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 улюблених ігор. День пірата (квести). Граємо у спортивні ігри (городки, бадмінтон, футбол, волейбол). Моя улюблена іграшка. Ігротека для малюків.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 xml:space="preserve">Тиждень безпеки життєдіяльності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«Я в гармонії зростаю й небезпеки уникаю»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 «не смаколиків» (запобігання харчовим отруєнням). День грамотного пішохода. Буду я природі другом (сонце, вода, ліс).  Сам удома (електричні прилади). День обережної дитини (світ незнайомців).</w:t>
            </w:r>
          </w:p>
        </w:tc>
      </w:tr>
      <w:tr>
        <w:trPr/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фестивалю творчості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День фарб та олівців. книжки. Малюнки на асфальті. Колаж щастя. «Спробуй рими підібрати і рядочки написати» (фантазуємо, римуємо). День іменинника. День театру. Смартмоб до Дня Державного прапора та Дня Незалежності України.</w:t>
            </w:r>
          </w:p>
        </w:tc>
      </w:tr>
    </w:tbl>
    <w:p>
      <w:pPr>
        <w:pStyle w:val="Normal"/>
        <w:tabs>
          <w:tab w:val="left" w:pos="28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00000A"/>
          <w:sz w:val="28"/>
          <w:szCs w:val="24"/>
          <w:lang w:val="uk-UA"/>
        </w:rPr>
        <w:tab/>
        <w:tab/>
        <w:tab/>
        <w:tab/>
        <w:t xml:space="preserve">                 </w:t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Додаток 2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Корисні посилання на літні забави-ігри для дітей дошкільного віку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Normal"/>
        <w:numPr>
          <w:ilvl w:val="0"/>
          <w:numId w:val="5"/>
        </w:numPr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Літні розваги для дітей – 60 незвичайних ідей дитячого дозвілля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ab/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https://ditvora.com.ua/litni-rozvagy-dlya-ditey-60-nezvychaynyh-idey-dytyachogo-dozvillya</w:t>
        </w:r>
      </w:hyperlink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numPr>
          <w:ilvl w:val="0"/>
          <w:numId w:val="5"/>
        </w:numPr>
        <w:tabs>
          <w:tab w:val="left" w:pos="567" w:leader="none"/>
        </w:tabs>
        <w:spacing w:lineRule="auto" w:line="240" w:before="0" w:after="0"/>
        <w:ind w:left="14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45 веселих ідей для літніх розваг з дітьми </w:t>
        <w:tab/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https://www.pinterest.com/pin/297167275394299305/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numPr>
          <w:ilvl w:val="0"/>
          <w:numId w:val="5"/>
        </w:numPr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Літні рухливі ігри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ab/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http://doshkolenok.kiev.ua/games/490-litni-ruhlyvi-igry.html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numPr>
          <w:ilvl w:val="0"/>
          <w:numId w:val="5"/>
        </w:numPr>
        <w:tabs>
          <w:tab w:val="left" w:pos="567" w:leader="none"/>
        </w:tabs>
        <w:spacing w:lineRule="auto" w:line="240" w:before="0" w:after="0"/>
        <w:ind w:left="142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Колективні літні ігри для дітей на свіжому повітрі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ab/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http://ped-kopilka.com.ua/letnii-otdyh/letnie-podvizhnye-igry-dlja-detei-na-ulice.html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numPr>
          <w:ilvl w:val="0"/>
          <w:numId w:val="5"/>
        </w:numPr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Десять літніх командних ігор, які допоможуть дітям розвинути комунікативні навички та потоваришувати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ab/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https://childdevelop.com.ua/articles/leisure/220/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numPr>
          <w:ilvl w:val="0"/>
          <w:numId w:val="5"/>
        </w:numPr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Квест-ігри</w:t>
      </w:r>
    </w:p>
    <w:p>
      <w:pPr>
        <w:pStyle w:val="Normal"/>
        <w:tabs>
          <w:tab w:val="left" w:pos="567" w:leader="none"/>
        </w:tabs>
        <w:spacing w:lineRule="auto" w:line="240" w:before="0" w:after="0"/>
        <w:ind w:hanging="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ab/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https://vseosvita.ua/library/kvesti-igri-dla-ditej-skilnogo-viku-293244.html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142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Додаток 3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Список літніх дитячих розваг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Велика ігрова дошка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Пограйте в незвичайну гру-ходилку, де на кожному полі будуть різні завдання від найпростіших до складніших. Кожен день завдання можна писати нові або витягати фанти, на яких написано, що цікавенького можна зробити.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 не варто намагатися встигнути зробити якомога більше або картати себе за те, що чогось не встиг!) Літо прекрасне саме по собі і дитина повинна вчитися не тільки бути учасником запропонованих вами ігор, а й сама знаходити цікаве навколо себе і придумувати свої ігри, без вашої участі.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  <w:t>«ПРИРОДНІ» ІГРИ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Створення букетів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Це так просто – дати дітям ножиці і попросити зрізати квіти, зробити букетики і поставити їх у воду. Квіти можна зібрати в саду, на прогулянці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(екскурсії)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 полі чи лісі. Під час цього заняття можна дати діткам кілька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занять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оформленню букетиків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(флористика)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розвиваємо естетичний смак дитини.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Полювання за кольорами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прогулянку можна піти зі спеціальним завданням – відшукати рослини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(предмети)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певних кольорів. Знайдені екземпляри можна приліплювати на двосторонній скотч або класти у відсіки картонної коробки або, наприклад,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контейнеру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від яєць.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«Натуральні» прикраси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Такий браслет робиться з скотча, липкою стороною вгору, і потім дитина сама приліплює на нього квіти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, бур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`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ян, листочки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свій смак і колір. Можна приліплювати також пісок, черепашки та камінці. Для цього краще взяти липкий двосторонній скотч, нижній шар якого просто не відклеювати.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 само з двостороннім скотчем можна зробити корону або навіть пояс. Можна навіть зробити намист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або він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к, просто розщепивши стеблинки квітки (ромашки) і просунувши в неї наступну квітку. 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  <w:t>ІГРИ З ВОДОЮ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«Бризкалки»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ожна зробити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бризкалку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 продірявленої пляшки, примотаної скотчем до шлангу з водою. Якщо її підвісити, то вийде душ!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6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Малюнки водою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ще водою можна малювати! Для цього знадобляться пензлики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різного розміру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валики і, власне, вода. А діти вже самі знайдуть, що і як їм "розфарбувати". На асфальті також зручно малювати бризкалкою з пластикової пляшки з дірочкою в кришці.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7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Велика весела «губкова» гра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айте дітям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шматок поролону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і вони самі придумають йому застосування. Адже якщо покласти його в воду, то він вбере її і стане важким, якщо додати трохи мила, то буде багато густої піни, а ще на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лоні залишаються відбитки, якщо щось в нього втиснути.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Водний боулінг і стрільба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Наповніть водою пластикові пляшки, додайте трохи барвника і зіграйте в боулінг! А якщо ще всередину покласти світні палички, то можна грати в темряві!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Друга гра теж на влучність – збивати кульки від пінг-понгу струменем водяного пістолета.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 xml:space="preserve">9. 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shd w:fill="FFFFFF" w:val="clear"/>
          <w:lang w:eastAsia="ru-RU"/>
        </w:rPr>
        <w:t>Заморожені яйця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Заморозьте воду у повітряних кульках, всередину можна покласти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різні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кольорові предмети. Вийдуть дуже цікаві льодові яйця.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  <w:t xml:space="preserve">ІГРИ З 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  <w:t>ПІСКОМ ТА КАМІННЯМ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10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Пошук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 xml:space="preserve"> артефактів у пісочниці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Звичайну пісочницю можна перетворити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археологічні розкопки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!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Просто додайте в пісок предмети, які буде цікаво там шукати – намиста, монети, красиві камінчики, скляні кульки і т.п. Дітям можна видати список того, що треба там знайти.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Та надати їм пензлики для очищення матеріалів від піску.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Чудова ідея – пофарбувати звичайні камені золотою фарбою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(краще з балончика). Вийдуть справжні скарби і золоті самородки. Також можна пофарбувати і дрібні монети. Для пісочниці можна придбати набори цікавих камінчиків, які продають для акваріумів.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11. Повідомлення у пляшці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Якщо крім інших скарбів, підкинути в пісочницю пляшку з посланням або з картою, то почнуться нові пригоди.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Острів скарбів у пісочниці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 xml:space="preserve"> 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Перебуваючи на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айданчику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можна пограти у пошук скарбів. Роздрукуйте або зробіть самі список того, що можна буде там знайти (виріжте картинки з журналів або використовуйте наклейки). Діти з задоволенням займуться таким збиранням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на всій території майданчика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Не забуваймо зберегти скарби та гідно представити їх.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Кольорові камінці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Якщо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ви маєте морські камінці (гальки)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то можна прихопити з собою акварельні фарби і нехай діти розфарбовують камінчики. А фарбу потім змиє першим дощем.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  <w:t>ІГРИ З КРЕЙДОЮ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14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«Крейдяне» мистецтво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Якщо заклад має тротуарну плитку, можна розфарбувати кожен окремий «клаптик» в різний колір, в результаті буде чарівна мозаїка!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15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Велетенська гра-бродилка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Крейдою можна намалювати на асфальті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різноманітні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ігри. Ось, наприклад, величезна гра-бродилка.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іншій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грі потрібно стрибати по колам певного кольору. Або по буквах і цифрами, які ви називаєте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(математика в повсякденному житті)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16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Малюнки за формою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Можна обводити предмети різної форми, а потім їх розмальовувати.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  <w:t xml:space="preserve">ІГРИ З ТІННЮ </w:t>
      </w:r>
      <w:r>
        <w:rPr>
          <w:rFonts w:eastAsia="Times New Roman" w:cs="Times New Roman" w:ascii="Times New Roman" w:hAnsi="Times New Roman"/>
          <w:bCs/>
          <w:i/>
          <w:color w:val="000000"/>
          <w:spacing w:val="-15"/>
          <w:sz w:val="28"/>
          <w:szCs w:val="28"/>
          <w:lang w:val="uk-UA" w:eastAsia="ru-RU"/>
        </w:rPr>
        <w:t>(проводяться в другій половині дня)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i/>
          <w:i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 xml:space="preserve">17. «Тіньові» малюнки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Підкажіть дитині, що можна обвести свою тінь, і на асфальті залишиться її маленький двійник, якого теж можна розфарбувати.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Можна обводити тінь з однієї точки, але в різний час дня і дивитися, як вона переміщується. Ще дуже цікаво обводити тіні дерев, паркану, велосипеда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, тощо.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 xml:space="preserve">18. 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Театр тіней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Цікаво буде обводити і фігурки тіньового театру – вирізані з паперу або створені вашими руками.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  <w:t>ВУЛИЧНЕ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val="uk-UA" w:eastAsia="ru-RU"/>
        </w:rPr>
        <w:t>»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  <w:t xml:space="preserve"> МИСТЕЦТВО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19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Гігантські малюнки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Не обмежуйте дитину при малюванні форматом листка А4. Хай дитина малює велетенські картини на вулиці!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0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Велетенська дошка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Існує чудова фарба для шкільних до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ш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ок – пофарбуйте нею листи фанери і буде у дитини чудова поверхня для творчості. А малюнки дуже весело змивати водою з пульверизатора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або водяного пістолета.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kern w:val="2"/>
          <w:sz w:val="28"/>
          <w:szCs w:val="28"/>
          <w:u w:val="single"/>
          <w:lang w:eastAsia="ru-RU"/>
        </w:rPr>
        <w:t>МИСТЕЦТВО З МОТЛОХУ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Справжні твори мистецтва можна зробити з усього того мотлоху, що напевно накопичується майже у всіх, особливо на дачі.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21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Панно з кришечок від пластикових пляшок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 xml:space="preserve">2. Перевдягання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Можна з дітьми виготовити одяг із тих предметів, які збираєтеся викидати: пакети, кришечки з пластикових пляшок, тканина тощо. Можна спробувати надати другий шанс одягу, який планували викинути. Та влаштувати справжній модний показ.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pacing w:val="-15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23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Ляльковий театр у дворі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Влаштуйте театр у дворі. Можна просто ляльковий, показаний батьками дітям, а можна, щоб малюк переодягався і робив собі костюми, а ді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би вгадували, кого він зображує.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24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Шатро зі стрічок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Дуже просто зробити для дітей красиве шатро зі стрічок. До речі, це чудова ідея для фотосесій.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 xml:space="preserve">25. 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Бадмінтон з повітряними кульками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Дітки, які ще не «доросли» до дорослого бадмінтону, можуть зіграти в нього не воланчиками, а повітряною кулькою. А ракетки можна зробити з одноразових паперових тарілок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або пінопластових палиць для плавання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А ще повітряну кульку можна заганяти в кошики ракетками, паличками і т.д.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26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. Літери з паличок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Із пофарбованих гілочок дуже просто зробити літери, з яких можна скла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ти слова або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власні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імена.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27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val="uk-UA" w:eastAsia="ru-RU"/>
        </w:rPr>
        <w:t>«Живий» одяг</w:t>
      </w:r>
      <w:r>
        <w:rPr>
          <w:rFonts w:eastAsia="Times New Roman" w:cs="Times New Roman"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t>!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На картоні намалювати ляльку і вирізати лише сукню, залишивши лише голову і шию ляльки, і вирізаний контур сукні. З природи обрати кольорове «вбрання» квіточки, листя, травичка, пісок й накласти картон на певний об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єкт. В результаті надзвичайне вбрання.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00000A"/>
          <w:sz w:val="28"/>
          <w:szCs w:val="24"/>
          <w:lang w:val="uk-UA"/>
        </w:rPr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Додаток 4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Орієнтовний перелік виносного обладнання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на майданчик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tbl>
      <w:tblPr>
        <w:tblW w:w="947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6813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8"/>
                <w:szCs w:val="28"/>
                <w:lang w:val="uk-UA"/>
              </w:rPr>
              <w:t>Матеріал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Трудова діяльність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Лопатки, віники, граблі, мітли, лійки. Тачки або носилки з бортиками для перенесення землі, піску, сухостою.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Совки для викопування й посадки рослин, сапки для підгортання й розпушування ґрунту.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Самостійна художня діяльність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Зображувальні матеріали: крейда, різні види паперу, клей, фарби, пензлики, олівці, фломастери, штампи, губки, трубочки, пластилін, стеки.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Елементи костюмів для театральної діяльності.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Природний матеріал.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Самостійна рухова активність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Кільцекиди, кеглі, скакалки, городки, ракетки для ігор у бадмінтон і малий теніс, сітки для перекидання через них 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’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ячів, 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’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ячі різних розмірів.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Маски та атрибути для рухливих ігор.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Самокати, велосипеди – за наявності майданчика для катання або вело доріжки.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Сюжетно-рольові ігри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Ляльки, візки для ляльок, ігрові меблі, посуд, атрибути для ігор «Магазин», «Сім’я», «Ферма».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Великий іграшковий транспорт.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Сюжетні іграшки відповідно до віку та ігрових інтересів дітей.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Ігри з піском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Совки, формочки, воронки, відерця, граблі, сито.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Площинні іграшки: будинки, дерева, чоловічки, тварини, дорожні знаки.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Об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’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ємні іграшки: машинки, ляльки.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Природний матеріал: мушлі, шишки, камінці, гілочки.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Моделі споруд: мости, ворота, замки.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Ігри з водою та вітром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Тази, губки, вудки, сачки.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Водоплавні іграшки, човники, плоти, вітрильники.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Предмети для експериментів з водою: стаканчики-переливайки, насадки з різними отворами, ємкості різного об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’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єму, форми й прозорості.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Вертушки, прапорці, засоби для створення мильних бульбашок, повітряні кульки, повітряний змій.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00000A"/>
          <w:sz w:val="28"/>
          <w:szCs w:val="24"/>
          <w:lang w:val="uk-UA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  <w:r>
        <w:br w:type="page"/>
      </w:r>
    </w:p>
    <w:p>
      <w:pPr>
        <w:pStyle w:val="3"/>
        <w:numPr>
          <w:ilvl w:val="2"/>
          <w:numId w:val="2"/>
        </w:numPr>
        <w:spacing w:before="0" w:after="0"/>
        <w:jc w:val="right"/>
        <w:rPr/>
      </w:pPr>
      <w:r>
        <w:rPr>
          <w:b w:val="false"/>
          <w:color w:val="000000"/>
          <w:sz w:val="24"/>
          <w:szCs w:val="24"/>
          <w:lang w:val="uk-UA"/>
        </w:rPr>
        <w:t xml:space="preserve"> </w:t>
      </w:r>
      <w:r>
        <w:rPr>
          <w:b w:val="false"/>
          <w:color w:val="000000"/>
          <w:sz w:val="28"/>
          <w:szCs w:val="28"/>
          <w:lang w:val="uk-UA"/>
        </w:rPr>
        <w:t>Додаток 5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Форми роботи з фізичного розвитку дітей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у літньо-оздоровчий період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tbl>
      <w:tblPr>
        <w:tblW w:w="10075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7"/>
        <w:gridCol w:w="1946"/>
        <w:gridCol w:w="1121"/>
        <w:gridCol w:w="1215"/>
        <w:gridCol w:w="1120"/>
        <w:gridCol w:w="1"/>
        <w:gridCol w:w="4064"/>
      </w:tblGrid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Кратність проведення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Особливості організації</w:t>
            </w:r>
          </w:p>
        </w:tc>
      </w:tr>
      <w:tr>
        <w:trPr/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ФІЗКУЛЬТУРНО-ОЗДОРОВЧА РОБОТА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Ранкова гімнастика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Проведення на свіжому повітрі.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Комплекси ранкової гімнастики розучують на занятті з фізичної культури, діють 2 тижні з ускладненням на другому.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Гімнастика після денного сну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Проводять після поступового підйому дітей у спальній, групових кімнатах або залі.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Фізкультурні паузи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Проводять у перерві між малорухливими видами діяльності та організованими заняттями.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Фізкультурні хвилинки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Проводять під час організованих занять у вигляді короткотривалих комплексів фізичних вправ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Гартувальні процедури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Проводять за згодою батьків з урахуванням індивідуальних показників стану здоров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`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я і самопочуття дітей.</w:t>
            </w:r>
          </w:p>
        </w:tc>
      </w:tr>
      <w:tr>
        <w:trPr/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2. ФОРМИ ОРГАНІЗАЦІЇ РУХОВОЇ АКТИВНОСТІ В ПОВСЯКДЕННОМУ ЖИТТІ</w:t>
            </w:r>
          </w:p>
        </w:tc>
      </w:tr>
      <w:tr>
        <w:trPr>
          <w:trHeight w:val="630" w:hRule="atLeast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Рухливі ігри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Щодня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(6-7 ігор)</w:t>
            </w:r>
          </w:p>
        </w:tc>
        <w:tc>
          <w:tcPr>
            <w:tcW w:w="4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Протягом дня слід проводити рухливі ігри  різних видів </w:t>
            </w:r>
          </w:p>
        </w:tc>
      </w:tr>
      <w:tr>
        <w:trPr>
          <w:trHeight w:val="210" w:hRule="atLeast"/>
        </w:trPr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1069" w:hang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8"/>
                <w:lang w:val="uk-UA"/>
              </w:rPr>
              <w:t>ранок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8"/>
                <w:lang w:val="uk-UA"/>
              </w:rPr>
              <w:t>прогулянка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8"/>
                <w:lang w:val="uk-UA"/>
              </w:rPr>
              <w:t>ІІ пол.дня</w:t>
            </w:r>
          </w:p>
        </w:tc>
        <w:tc>
          <w:tcPr>
            <w:tcW w:w="4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420" w:hRule="atLeast"/>
        </w:trPr>
        <w:tc>
          <w:tcPr>
            <w:tcW w:w="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1069" w:hang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lang w:val="uk-UA"/>
              </w:rPr>
              <w:t>1-2 гри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lang w:val="uk-UA"/>
              </w:rPr>
              <w:t>низької, середньої рухлив.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lang w:val="uk-UA"/>
              </w:rPr>
              <w:t>3 гри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lang w:val="uk-UA"/>
              </w:rPr>
              <w:t>низької, середньої та високої рухлив.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lang w:val="uk-UA"/>
              </w:rPr>
              <w:t>2 гри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Cs w:val="28"/>
                <w:lang w:val="uk-UA"/>
              </w:rPr>
              <w:t>низької, середньої рухлив.</w:t>
            </w:r>
          </w:p>
        </w:tc>
        <w:tc>
          <w:tcPr>
            <w:tcW w:w="4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Фізичні вправи 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у різноманітних організаційних формах (ранкова гімнастика, заняття з фізичної культури, рухливі ігри)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Походи за межі дошкільного закладу (дитячий туризм)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Один раз на тиждень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Починаючи з молодшого дошкільного віку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Фізкультурні свята 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1 раз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на літній оздоровчий період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Організовують у першій чи другій половині дня на майданчику.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Фізкультурні розваги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1-2 рази на місяць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Проводять, починаючи з раннього віку (3-й рік життя), переважно у другій половині дня. Обов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`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язковою є участь кожної дитини.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Самостійна рухова діяльність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Щодня під час ранкової зустрічі, денної та вечірньої прогулянок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Може розгортатися як у приміщенні, так і на майданчику.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Дні здоров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`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Починаючи з 3-го року життя. Цей день насичується різноманітними формами: гартувальні, дитячий туризм, фізкультурне свято або розвага, самостійна рухова діяльність, рухливі ігри на прогулянках, фізкультурні заняття (за сприятливих погодних умов – на свіжому повітрі).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Тижні фізкультури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1 раз на 3 місяці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Організовують так само, як і дні здоров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`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ind w:left="0" w:firstLine="6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Індивідуальна робота з фізичного виховання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Проводять у вільний час, відведений для самостійної діяльності дітей, індивідуально або з підгрупами по двоє-четверо дітей.</w:t>
            </w:r>
          </w:p>
        </w:tc>
      </w:tr>
      <w:tr>
        <w:trPr/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3. ЗАНЯТТЯ З ФІЗИЧНОЇ КУЛЬТУРИ</w:t>
            </w:r>
          </w:p>
        </w:tc>
      </w:tr>
      <w:tr>
        <w:trPr/>
        <w:tc>
          <w:tcPr>
            <w:tcW w:w="6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Опитимізація рухового режиму, формування та закріплення рухових умінь і навичок, розвиток фізичних якостей, надання дітям спеціальних знань з фізичної культури</w:t>
            </w:r>
          </w:p>
        </w:tc>
      </w:tr>
    </w:tbl>
    <w:p>
      <w:pPr>
        <w:pStyle w:val="Normal"/>
        <w:tabs>
          <w:tab w:val="left" w:pos="284" w:leader="none"/>
        </w:tabs>
        <w:spacing w:lineRule="auto" w:line="240" w:before="0" w:after="0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4"/>
          <w:lang w:val="uk-UA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4"/>
          <w:lang w:val="uk-UA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4"/>
          <w:lang w:val="uk-UA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00000A"/>
          <w:sz w:val="28"/>
          <w:szCs w:val="24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  <w:rFonts w:cs="Times New Roman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val="uk-UA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Normal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uk-UA"/>
    </w:rPr>
  </w:style>
  <w:style w:type="character" w:styleId="WW8Num1z0">
    <w:name w:val="WW8Num1z0"/>
    <w:qFormat/>
    <w:rPr>
      <w:rFonts w:ascii="Times New Roman" w:hAnsi="Times New Roman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Calibri" w:cs="Times New Roman"/>
      <w:color w:val="000000"/>
      <w:sz w:val="28"/>
      <w:szCs w:val="28"/>
      <w:lang w:val="uk-UA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6z0">
    <w:name w:val="WW8Num6z0"/>
    <w:qFormat/>
    <w:rPr>
      <w:rFonts w:ascii="Times New Roman" w:hAnsi="Times New Roman" w:cs="Times New Roman"/>
      <w:sz w:val="28"/>
      <w:szCs w:val="28"/>
      <w:lang w:val="uk-UA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1">
    <w:name w:val="Основной шрифт абзаца"/>
    <w:qFormat/>
    <w:rPr/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Текст выноски Знак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3">
    <w:name w:val="Виділення жирним"/>
    <w:qFormat/>
    <w:rPr>
      <w:b/>
      <w:bCs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yle14">
    <w:name w:val="Гіперпосилання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4"/>
      <w:szCs w:val="28"/>
      <w:lang w:val="uk-UA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uk-UA"/>
    </w:rPr>
  </w:style>
  <w:style w:type="character" w:styleId="ListLabel3">
    <w:name w:val="ListLabel 3"/>
    <w:qFormat/>
    <w:rPr>
      <w:bCs/>
      <w:color w:val="000000"/>
      <w:sz w:val="24"/>
      <w:szCs w:val="24"/>
      <w:u w:val="none"/>
      <w:lang w:val="uk-UA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Font8">
    <w:name w:val="font_8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uk-UA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us.org.ua/questions/otsinyuvannya-v-dystantsijnomu-navchanni-zapytannya-vidpovidi/" TargetMode="External"/><Relationship Id="rId3" Type="http://schemas.openxmlformats.org/officeDocument/2006/relationships/hyperlink" Target="https://ditvora.com.ua/litni-rozvagy-dlya-ditey-60-nezvychaynyh-idey-dytyachogo-dozvillya" TargetMode="External"/><Relationship Id="rId4" Type="http://schemas.openxmlformats.org/officeDocument/2006/relationships/hyperlink" Target="https://www.pinterest.com/pin/297167275394299305/" TargetMode="External"/><Relationship Id="rId5" Type="http://schemas.openxmlformats.org/officeDocument/2006/relationships/hyperlink" Target="http://doshkolenok.kiev.ua/games/490-litni-ruhlyvi-igry.html" TargetMode="External"/><Relationship Id="rId6" Type="http://schemas.openxmlformats.org/officeDocument/2006/relationships/hyperlink" Target="http://ped-kopilka.com.ua/letnii-otdyh/letnie-podvizhnye-igry-dlja-detei-na-ulice.html" TargetMode="External"/><Relationship Id="rId7" Type="http://schemas.openxmlformats.org/officeDocument/2006/relationships/hyperlink" Target="https://childdevelop.com.ua/articles/leisure/220/" TargetMode="External"/><Relationship Id="rId8" Type="http://schemas.openxmlformats.org/officeDocument/2006/relationships/hyperlink" Target="https://vseosvita.ua/library/kvesti-igri-dla-ditej-skilnogo-viku-293244.htm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26</TotalTime>
  <Application>LibreOffice/6.0.7.3$Linux_X86_64 LibreOffice_project/00m0$Build-3</Application>
  <Pages>12</Pages>
  <Words>2904</Words>
  <Characters>18772</Characters>
  <CharactersWithSpaces>21491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2021-05-28T11:40:00Z</dcterms:created>
  <dc:creator>Пользователь Windows</dc:creator>
  <dc:description/>
  <dc:language>uk-UA</dc:language>
  <cp:lastModifiedBy/>
  <cp:lastPrinted>2021-05-25T22:25:00Z</cp:lastPrinted>
  <dcterms:modified xsi:type="dcterms:W3CDTF">2021-06-03T12:58:58Z</dcterms:modified>
  <cp:revision>9</cp:revision>
  <dc:subject/>
  <dc:title/>
</cp:coreProperties>
</file>