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0" w:before="0" w:after="210"/>
        <w:jc w:val="center"/>
        <w:rPr/>
      </w:pPr>
      <w:r>
        <w:rPr>
          <w:rFonts w:cs="Times New Roman" w:ascii="Times New Roman" w:hAnsi="Times New Roman"/>
          <w:sz w:val="28"/>
          <w:szCs w:val="28"/>
        </w:rPr>
        <w:t xml:space="preserve">Протокол </w:t>
      </w:r>
    </w:p>
    <w:p>
      <w:pPr>
        <w:pStyle w:val="Normal"/>
        <w:spacing w:lineRule="atLeast" w:line="270" w:before="0" w:after="210"/>
        <w:jc w:val="center"/>
        <w:rPr/>
      </w:pPr>
      <w:r>
        <w:rPr>
          <w:rFonts w:cs="Times New Roman" w:ascii="Times New Roman" w:hAnsi="Times New Roman"/>
          <w:sz w:val="28"/>
          <w:szCs w:val="28"/>
        </w:rPr>
        <w:t>забезпечення проведення якісної атестації педагогічних кадрів закладів освіти, відповідно до вимог нового Закону про освіту, чинного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та Положення про атестацію педагогічних працівників</w:t>
      </w:r>
    </w:p>
    <w:p>
      <w:pPr>
        <w:pStyle w:val="Normal"/>
        <w:spacing w:lineRule="atLeast" w:line="270" w:before="0" w:after="210"/>
        <w:rPr/>
      </w:pPr>
      <w:r>
        <w:rPr>
          <w:rFonts w:cs="Times New Roman" w:ascii="Times New Roman" w:hAnsi="Times New Roman"/>
          <w:sz w:val="28"/>
          <w:szCs w:val="28"/>
        </w:rPr>
        <w:t>З метою підтвердження відповідності до вимог кваліфікаційної категорії «перша», «вища» у міжатестаційний період кожний вчитель школи, вихователь ДНЗ, керівник гуртків ПНЗ має довести атестаційній комісії І- ІІ рівнів:</w:t>
      </w:r>
    </w:p>
    <w:p>
      <w:pPr>
        <w:pStyle w:val="ListParagraph"/>
        <w:numPr>
          <w:ilvl w:val="0"/>
          <w:numId w:val="1"/>
        </w:numPr>
        <w:spacing w:lineRule="atLeast" w:line="270" w:before="0" w:after="210"/>
        <w:contextualSpacing/>
        <w:rPr/>
      </w:pPr>
      <w:r>
        <w:rPr>
          <w:rFonts w:cs="Times New Roman" w:ascii="Times New Roman" w:hAnsi="Times New Roman"/>
          <w:sz w:val="28"/>
          <w:szCs w:val="28"/>
        </w:rPr>
        <w:t>Власну академічну доброчесність через відсутність скарг батьків, доган адміністрації тощо.</w:t>
      </w:r>
    </w:p>
    <w:p>
      <w:pPr>
        <w:pStyle w:val="ListParagraph"/>
        <w:numPr>
          <w:ilvl w:val="0"/>
          <w:numId w:val="1"/>
        </w:numPr>
        <w:spacing w:lineRule="atLeast" w:line="270" w:before="0" w:after="210"/>
        <w:contextualSpacing/>
        <w:rPr/>
      </w:pPr>
      <w:r>
        <w:rPr>
          <w:rFonts w:cs="Times New Roman" w:ascii="Times New Roman" w:hAnsi="Times New Roman"/>
          <w:sz w:val="28"/>
          <w:szCs w:val="28"/>
        </w:rPr>
        <w:t>Власний професіоналізм через:</w:t>
        <w:br/>
        <w:t xml:space="preserve">- стабільні показники якості навчально-виховного процесу та відповідність результатів річних оцінок, моніторингових досліджень, результатам ДПА та ЗНО </w:t>
      </w:r>
      <w:r>
        <w:rPr>
          <w:rFonts w:cs="Times New Roman" w:ascii="Times New Roman" w:hAnsi="Times New Roman"/>
          <w:b/>
          <w:sz w:val="28"/>
          <w:szCs w:val="28"/>
        </w:rPr>
        <w:t>протягом 5 років</w:t>
        <w:br/>
        <w:t xml:space="preserve">- </w:t>
      </w:r>
      <w:r>
        <w:rPr>
          <w:rFonts w:cs="Times New Roman" w:ascii="Times New Roman" w:hAnsi="Times New Roman"/>
          <w:sz w:val="28"/>
          <w:szCs w:val="28"/>
        </w:rPr>
        <w:t>результативну щорічну підготовку учнів до обласних інтелектуальних змаган</w:t>
      </w:r>
      <w:r>
        <w:rPr>
          <w:rFonts w:cs="Times New Roman" w:ascii="Times New Roman" w:hAnsi="Times New Roman"/>
          <w:b/>
          <w:sz w:val="28"/>
          <w:szCs w:val="28"/>
        </w:rPr>
        <w:t xml:space="preserve">ь за предметом за вибором вчителя базової та старшої школи </w:t>
      </w:r>
      <w:r>
        <w:rPr>
          <w:rFonts w:cs="Times New Roman" w:ascii="Times New Roman" w:hAnsi="Times New Roman"/>
          <w:sz w:val="28"/>
          <w:szCs w:val="28"/>
        </w:rPr>
        <w:t>(олімпіади, МАН, турніри, конференції НТУ, до предметних олімпіад,тощо)</w:t>
        <w:br/>
        <w:t xml:space="preserve"> </w:t>
      </w:r>
      <w:r>
        <w:rPr>
          <w:rFonts w:cs="Times New Roman" w:ascii="Times New Roman" w:hAnsi="Times New Roman"/>
          <w:i/>
          <w:iCs/>
          <w:sz w:val="28"/>
          <w:szCs w:val="28"/>
        </w:rPr>
        <w:t>Для вчителів другої категорії — підготовка дітей до участі в інтелектуальних змаганнях міського рівня обов’язкова</w:t>
      </w:r>
      <w:r>
        <w:rPr>
          <w:rFonts w:cs="Times New Roman" w:ascii="Times New Roman" w:hAnsi="Times New Roman"/>
          <w:sz w:val="28"/>
          <w:szCs w:val="28"/>
        </w:rPr>
        <w:br/>
        <w:t xml:space="preserve"> </w:t>
      </w:r>
      <w:r>
        <w:rPr>
          <w:rFonts w:cs="Times New Roman" w:ascii="Times New Roman" w:hAnsi="Times New Roman"/>
          <w:i/>
          <w:iCs/>
          <w:sz w:val="28"/>
          <w:szCs w:val="28"/>
        </w:rPr>
        <w:t>Для вчителів першої та вищої категорії обов’язково — підготовка учнів до обласних олімпіад, 1-2 дослідницькі роботи учнів на обласному рівні за атестаційний період(STEM  проєкти тощо).</w:t>
      </w:r>
    </w:p>
    <w:p>
      <w:pPr>
        <w:pStyle w:val="ListParagraph"/>
        <w:spacing w:lineRule="atLeast" w:line="270" w:before="0" w:after="210"/>
        <w:ind w:left="1500" w:hanging="0"/>
        <w:contextualSpacing/>
        <w:rPr/>
      </w:pPr>
      <w:r>
        <w:rPr>
          <w:rFonts w:cs="Times New Roman" w:ascii="Times New Roman" w:hAnsi="Times New Roman"/>
          <w:i/>
          <w:iCs/>
          <w:sz w:val="28"/>
          <w:szCs w:val="28"/>
        </w:rPr>
        <w:t xml:space="preserve">- </w:t>
      </w:r>
      <w:r>
        <w:rPr>
          <w:rFonts w:cs="Times New Roman" w:ascii="Times New Roman" w:hAnsi="Times New Roman"/>
          <w:sz w:val="28"/>
          <w:szCs w:val="28"/>
        </w:rPr>
        <w:t>результативну щорічну підготовку учнів до міських інтелектуальних змаган</w:t>
      </w:r>
      <w:r>
        <w:rPr>
          <w:rFonts w:cs="Times New Roman" w:ascii="Times New Roman" w:hAnsi="Times New Roman"/>
          <w:b/>
          <w:sz w:val="28"/>
          <w:szCs w:val="28"/>
        </w:rPr>
        <w:t>ь</w:t>
      </w:r>
      <w:r>
        <w:rPr>
          <w:rFonts w:cs="Times New Roman" w:ascii="Times New Roman" w:hAnsi="Times New Roman"/>
          <w:b/>
          <w:i/>
          <w:iCs/>
          <w:sz w:val="28"/>
          <w:szCs w:val="28"/>
        </w:rPr>
        <w:t xml:space="preserve"> за вибором вчителя початкової школи </w:t>
      </w:r>
      <w:r>
        <w:rPr>
          <w:rFonts w:cs="Times New Roman" w:ascii="Times New Roman" w:hAnsi="Times New Roman"/>
          <w:sz w:val="28"/>
          <w:szCs w:val="28"/>
        </w:rPr>
        <w:t>(олімпіади молодших школярів, мовний конкурс ім П.Яцика, турнір юних інформатиків, конкурси малюнків, дитячих поробок та інші)</w:t>
        <w:br/>
        <w:t>- участь у міському коворкінгу, педагогічних конференціях, у проведенні апробації підручників (1-2 рази за атестаційний період) - обов’язково для вчителів, які претендують на підтвердження або встановлення педагогічні звання</w:t>
        <w:br/>
        <w:t>- активна участь у професійних конкурсах, фестивалях відкритих уроках: проведення власних майстер-класів, презентація власного досвіду роботи</w:t>
        <w:br/>
        <w:t xml:space="preserve"> (1-2 рази на 5 років обов’язково) обов’язково для вчителів на підтвердження та присвоєння вищої категорії</w:t>
        <w:br/>
        <w:t>- проведення міських майстер-класів, участь у міських або обласних предметних -  семінарах та конференціях (не менше ніж 2-3. за атестаційний період) обов’язково для вчителів на підтвердження та присвоєння вищої категорії</w:t>
        <w:br/>
        <w:t>- робота експертами ДСЯО, участь у проведенні сертифікації вчителів, або у проведені зовнішнього аудиту закладів освіти — для вчителів методистів</w:t>
        <w:br/>
      </w:r>
    </w:p>
    <w:p>
      <w:pPr>
        <w:pStyle w:val="ListParagraph"/>
        <w:numPr>
          <w:ilvl w:val="0"/>
          <w:numId w:val="1"/>
        </w:numPr>
        <w:spacing w:lineRule="atLeast" w:line="270" w:before="0" w:after="210"/>
        <w:contextualSpacing/>
        <w:rPr/>
      </w:pPr>
      <w:r>
        <w:rPr>
          <w:rFonts w:cs="Times New Roman" w:ascii="Times New Roman" w:hAnsi="Times New Roman"/>
          <w:sz w:val="28"/>
          <w:szCs w:val="28"/>
        </w:rPr>
        <w:t>Бажання самовдосконалюватися через:</w:t>
        <w:br/>
        <w:t>- участь у Четвергах професійного зростання ЦПРПП (підтвердження – наявність сертифікату)</w:t>
      </w:r>
    </w:p>
    <w:p>
      <w:pPr>
        <w:pStyle w:val="ListParagraph"/>
        <w:numPr>
          <w:ilvl w:val="0"/>
          <w:numId w:val="2"/>
        </w:numPr>
        <w:spacing w:lineRule="atLeast" w:line="270" w:before="0" w:after="210"/>
        <w:contextualSpacing/>
        <w:rPr/>
      </w:pPr>
      <w:r>
        <w:rPr>
          <w:rFonts w:cs="Times New Roman" w:ascii="Times New Roman" w:hAnsi="Times New Roman"/>
          <w:sz w:val="28"/>
          <w:szCs w:val="28"/>
        </w:rPr>
        <w:t>участь у всеукраїнських, обласних, регіональних  педагогічних конкурсах, фестивалях, конференціях, вебінарах (підтвердження – сертифікати, посвідчення, накази, запрошення тощо)</w:t>
      </w:r>
    </w:p>
    <w:p>
      <w:pPr>
        <w:pStyle w:val="ListParagraph"/>
        <w:numPr>
          <w:ilvl w:val="0"/>
          <w:numId w:val="2"/>
        </w:numPr>
        <w:spacing w:lineRule="atLeast" w:line="270" w:before="0" w:after="210"/>
        <w:contextualSpacing/>
        <w:rPr/>
      </w:pPr>
      <w:r>
        <w:rPr>
          <w:rFonts w:cs="Times New Roman" w:ascii="Times New Roman" w:hAnsi="Times New Roman"/>
          <w:sz w:val="28"/>
          <w:szCs w:val="28"/>
        </w:rPr>
        <w:t>участь у міських, регіональних, всеукраїнських освітніх проектах (підтвердження фотозвіти,  накази, сертифікати)</w:t>
      </w:r>
    </w:p>
    <w:p>
      <w:pPr>
        <w:pStyle w:val="ListParagraph"/>
        <w:numPr>
          <w:ilvl w:val="0"/>
          <w:numId w:val="2"/>
        </w:numPr>
        <w:spacing w:lineRule="atLeast" w:line="270" w:before="0" w:after="210"/>
        <w:contextualSpacing/>
        <w:rPr/>
      </w:pPr>
      <w:r>
        <w:rPr>
          <w:rFonts w:cs="Times New Roman" w:ascii="Times New Roman" w:hAnsi="Times New Roman"/>
          <w:sz w:val="28"/>
          <w:szCs w:val="28"/>
        </w:rPr>
        <w:t>здобування другої  вищої освіти (дипломи)</w:t>
      </w:r>
    </w:p>
    <w:p>
      <w:pPr>
        <w:pStyle w:val="ListParagraph"/>
        <w:numPr>
          <w:ilvl w:val="0"/>
          <w:numId w:val="2"/>
        </w:numPr>
        <w:spacing w:lineRule="atLeast" w:line="270" w:before="0" w:after="210"/>
        <w:contextualSpacing/>
        <w:rPr/>
      </w:pPr>
      <w:r>
        <w:rPr>
          <w:rFonts w:cs="Times New Roman" w:ascii="Times New Roman" w:hAnsi="Times New Roman"/>
          <w:sz w:val="28"/>
          <w:szCs w:val="28"/>
        </w:rPr>
        <w:t>здобування наукового ступеню</w:t>
      </w:r>
    </w:p>
    <w:p>
      <w:pPr>
        <w:pStyle w:val="ListParagraph"/>
        <w:numPr>
          <w:ilvl w:val="0"/>
          <w:numId w:val="2"/>
        </w:numPr>
        <w:spacing w:lineRule="atLeast" w:line="270" w:before="0" w:after="210"/>
        <w:contextualSpacing/>
        <w:rPr/>
      </w:pPr>
      <w:r>
        <w:rPr>
          <w:rFonts w:cs="Times New Roman" w:ascii="Times New Roman" w:hAnsi="Times New Roman"/>
          <w:sz w:val="28"/>
          <w:szCs w:val="28"/>
        </w:rPr>
        <w:t>проходження сертифікації</w:t>
      </w:r>
    </w:p>
    <w:p>
      <w:pPr>
        <w:pStyle w:val="ListParagraph"/>
        <w:numPr>
          <w:ilvl w:val="0"/>
          <w:numId w:val="2"/>
        </w:numPr>
        <w:spacing w:lineRule="atLeast" w:line="270" w:before="0" w:after="210"/>
        <w:contextualSpacing/>
        <w:rPr/>
      </w:pPr>
      <w:r>
        <w:rPr>
          <w:rFonts w:cs="Times New Roman" w:ascii="Times New Roman" w:hAnsi="Times New Roman"/>
          <w:sz w:val="28"/>
          <w:szCs w:val="28"/>
        </w:rPr>
        <w:t xml:space="preserve">активна участь у роботі творчих груп за певною тематикою </w:t>
      </w:r>
    </w:p>
    <w:p>
      <w:pPr>
        <w:pStyle w:val="ListParagraph"/>
        <w:numPr>
          <w:ilvl w:val="0"/>
          <w:numId w:val="1"/>
        </w:numPr>
        <w:spacing w:lineRule="atLeast" w:line="270" w:before="0" w:after="210"/>
        <w:contextualSpacing/>
        <w:rPr/>
      </w:pPr>
      <w:r>
        <w:rPr>
          <w:rFonts w:cs="Times New Roman" w:ascii="Times New Roman" w:hAnsi="Times New Roman"/>
          <w:sz w:val="28"/>
          <w:szCs w:val="28"/>
        </w:rPr>
        <w:t xml:space="preserve">Участь у суспільно-громадському житті закладу освіти </w:t>
        <w:br/>
      </w:r>
      <w:r>
        <w:rPr>
          <w:rFonts w:cs="Times New Roman" w:ascii="Times New Roman" w:hAnsi="Times New Roman"/>
          <w:b/>
          <w:bCs/>
          <w:sz w:val="28"/>
          <w:szCs w:val="28"/>
        </w:rPr>
        <w:t>(за критеріями школи)</w:t>
        <w:br/>
      </w:r>
      <w:r>
        <w:rPr>
          <w:rFonts w:cs="Times New Roman" w:ascii="Times New Roman" w:hAnsi="Times New Roman"/>
          <w:sz w:val="28"/>
          <w:szCs w:val="28"/>
        </w:rPr>
        <w:t>актуально: активна участь у освітніх проєктах: міських, регіональних, всеукраїнських, міжнародних, грантових)</w:t>
      </w:r>
    </w:p>
    <w:p>
      <w:pPr>
        <w:pStyle w:val="Normal"/>
        <w:spacing w:lineRule="atLeast" w:line="270" w:before="0" w:after="210"/>
        <w:jc w:val="both"/>
        <w:rPr>
          <w:i/>
          <w:i/>
          <w:iCs/>
        </w:rPr>
      </w:pPr>
      <w:r>
        <w:rPr>
          <w:rFonts w:cs="Times New Roman" w:ascii="Times New Roman" w:hAnsi="Times New Roman"/>
          <w:i/>
          <w:iCs/>
        </w:rPr>
        <w:t xml:space="preserve"> </w:t>
      </w:r>
      <w:r>
        <w:rPr>
          <w:rFonts w:cs="Times New Roman" w:ascii="Times New Roman" w:hAnsi="Times New Roman"/>
          <w:i/>
          <w:iCs/>
        </w:rPr>
        <w:t>Витяг з Положення про атестацію педагогічних працівників:</w:t>
      </w:r>
    </w:p>
    <w:p>
      <w:pPr>
        <w:pStyle w:val="Style20"/>
        <w:spacing w:lineRule="atLeast" w:line="270" w:before="30" w:after="150"/>
        <w:ind w:firstLine="709"/>
        <w:contextualSpacing/>
        <w:jc w:val="left"/>
        <w:rPr/>
      </w:pPr>
      <w:r>
        <w:rPr>
          <w:i/>
          <w:iCs/>
        </w:rPr>
        <w:t>Кваліфікаційні вимоги згідно Положення про атестацію</w:t>
      </w:r>
    </w:p>
    <w:p>
      <w:pPr>
        <w:pStyle w:val="Style20"/>
        <w:ind w:firstLine="720"/>
        <w:rPr/>
      </w:pPr>
      <w:r>
        <w:rPr>
          <w:szCs w:val="28"/>
        </w:rPr>
        <w:t>4.3. Кваліфікаційна категорія «спеціаліст» присвоюється п</w:t>
      </w:r>
      <w:r>
        <w:rPr>
          <w:color w:val="000000"/>
          <w:szCs w:val="28"/>
        </w:rPr>
        <w:t xml:space="preserve">едагогічним працівникам з повною вищою освітою, які раніше не атестувалися й діяльність яких характеризується: здатністю забезпечувати засвоєння учнями, студентами, курсантами, слухачами, вихованцями (далі </w:t>
      </w:r>
      <w:r>
        <w:rPr>
          <w:bCs/>
          <w:szCs w:val="28"/>
        </w:rPr>
        <w:t>–</w:t>
      </w:r>
      <w:r>
        <w:rPr>
          <w:color w:val="000000"/>
          <w:szCs w:val="28"/>
        </w:rPr>
        <w:t xml:space="preserve"> учні) навчальних програм; </w:t>
      </w:r>
      <w:r>
        <w:rPr>
          <w:bCs/>
          <w:szCs w:val="28"/>
        </w:rPr>
        <w:t xml:space="preserve">знанням основ педагогіки, психології, дитячої та вікової фізіології; </w:t>
      </w:r>
      <w:r>
        <w:rPr>
          <w:color w:val="000000"/>
          <w:szCs w:val="28"/>
        </w:rPr>
        <w:t xml:space="preserve">знанням теоретичних основ та сучасних досягнень науки з предмета, який вони викладають; </w:t>
      </w:r>
      <w:r>
        <w:rPr>
          <w:bCs/>
          <w:szCs w:val="28"/>
        </w:rPr>
        <w:t xml:space="preserve">ресурсів у навчально-виховному процесі; </w:t>
      </w:r>
      <w:r>
        <w:rPr>
          <w:color w:val="000000"/>
          <w:szCs w:val="28"/>
        </w:rPr>
        <w:t>вмінням</w:t>
      </w:r>
      <w:r>
        <w:rPr>
          <w:bCs/>
          <w:szCs w:val="28"/>
        </w:rPr>
        <w:t xml:space="preserve"> вирішувати педагогічні проблеми</w:t>
      </w:r>
      <w:r>
        <w:rPr>
          <w:color w:val="000000"/>
          <w:szCs w:val="28"/>
        </w:rPr>
        <w:t xml:space="preserve">; </w:t>
      </w:r>
      <w:r>
        <w:rPr>
          <w:bCs/>
          <w:szCs w:val="28"/>
        </w:rPr>
        <w:t>вмінням установлювати контакт з учнями (вихованцями), батьками, колегами по роботі; додержанням педагогічної етики, моралі.</w:t>
      </w:r>
    </w:p>
    <w:p>
      <w:pPr>
        <w:pStyle w:val="Style20"/>
        <w:ind w:firstLine="709"/>
        <w:rPr/>
      </w:pPr>
      <w:r>
        <w:rPr>
          <w:color w:val="000000"/>
          <w:szCs w:val="28"/>
        </w:rPr>
        <w:t xml:space="preserve">4.4. Кваліфікаційна категорія «спеціаліст другої категорії» присвоюється педагогічним працівникам, </w:t>
      </w:r>
      <w:r>
        <w:rPr>
          <w:szCs w:val="28"/>
        </w:rPr>
        <w:t xml:space="preserve">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w:t>
      </w:r>
      <w:r>
        <w:rPr>
          <w:bCs/>
          <w:szCs w:val="28"/>
        </w:rPr>
        <w:t xml:space="preserve">володіють сучасними освітніми технологіями, методичними прийомами, педагогічними засобами, різними формами позаурочної роботи та їх якісним застосуванням; </w:t>
      </w:r>
      <w:r>
        <w:rPr>
          <w:szCs w:val="28"/>
        </w:rPr>
        <w:t>застосовують інноваційні технології у навчально-виховному процесі;</w:t>
      </w:r>
      <w:r>
        <w:rPr>
          <w:bCs/>
          <w:szCs w:val="28"/>
        </w:rPr>
        <w:t xml:space="preserve"> знають основні нормативно-правові акти у галузі освіти; користуються </w:t>
      </w:r>
      <w:r>
        <w:rPr>
          <w:szCs w:val="28"/>
        </w:rPr>
        <w:t>авторитетом серед колег, учнів та їх батьків.</w:t>
      </w:r>
    </w:p>
    <w:p>
      <w:pPr>
        <w:pStyle w:val="Style20"/>
        <w:ind w:firstLine="709"/>
        <w:rPr/>
      </w:pPr>
      <w:r>
        <w:rPr>
          <w:szCs w:val="28"/>
        </w:rPr>
        <w:t>4.5. Кваліфікаційна категорія «спеціаліст першої</w:t>
      </w:r>
      <w:r>
        <w:rPr>
          <w:color w:val="000000"/>
          <w:szCs w:val="28"/>
        </w:rPr>
        <w:t xml:space="preserve"> категорії» присвоюється педагогічним працівникам, </w:t>
      </w:r>
      <w:r>
        <w:rPr>
          <w:szCs w:val="28"/>
        </w:rPr>
        <w:t xml:space="preserve">які відповідають вимогам, встановленим до працівників з кваліфікаційною категорією «спеціаліст другої категорії», та які використовують методи компетентно 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w:t>
      </w:r>
      <w:r>
        <w:rPr>
          <w:bCs/>
          <w:szCs w:val="28"/>
        </w:rPr>
        <w:t xml:space="preserve">вміють аргументувати свою позицію та володіють ораторським мистецтвом. </w:t>
      </w:r>
    </w:p>
    <w:p>
      <w:pPr>
        <w:pStyle w:val="Style20"/>
        <w:ind w:firstLine="720"/>
        <w:rPr/>
      </w:pPr>
      <w:r>
        <w:rPr>
          <w:szCs w:val="28"/>
        </w:rPr>
        <w:t xml:space="preserve">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w:t>
      </w:r>
      <w:r>
        <w:rPr>
          <w:szCs w:val="28"/>
          <w:u w:val="single"/>
        </w:rPr>
        <w:t xml:space="preserve">активно їх використовують та поширюють у професійному середовищі; володіють </w:t>
      </w:r>
      <w:r>
        <w:rPr>
          <w:color w:val="000000"/>
          <w:szCs w:val="28"/>
          <w:u w:val="single"/>
        </w:rPr>
        <w:t>широким спектром стратегій навчання;</w:t>
      </w:r>
      <w:r>
        <w:rPr>
          <w:szCs w:val="28"/>
          <w:u w:val="single"/>
        </w:rPr>
        <w:t xml:space="preserve"> вміють продукувати оригінальні, інноваційні ідеї; застосовують нестандартні форми проведення уроку;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pPr>
        <w:pStyle w:val="Style20"/>
        <w:ind w:firstLine="709"/>
        <w:rPr/>
      </w:pPr>
      <w:r>
        <w:rPr>
          <w:color w:val="000000"/>
          <w:szCs w:val="28"/>
        </w:rPr>
        <w:t xml:space="preserve">4.7. </w:t>
      </w:r>
      <w:r>
        <w:rPr>
          <w:szCs w:val="28"/>
        </w:rPr>
        <w:t xml:space="preserve">Присвоєння кваліфікаційних категорій за результатами атестації здійснюється послідовно. </w:t>
      </w:r>
    </w:p>
    <w:p>
      <w:pPr>
        <w:pStyle w:val="Style20"/>
        <w:ind w:firstLine="709"/>
        <w:rPr/>
      </w:pPr>
      <w:r>
        <w:rPr>
          <w:szCs w:val="28"/>
        </w:rPr>
        <w:t>Педагогічні працівники, які в міжатестаційний період підготували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w:t>
      </w:r>
      <w:r>
        <w:rPr>
          <w:color w:val="FF0000"/>
          <w:szCs w:val="28"/>
        </w:rPr>
        <w:t xml:space="preserve"> </w:t>
      </w:r>
      <w:r>
        <w:rPr>
          <w:szCs w:val="28"/>
        </w:rPr>
        <w:t>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spacing w:lineRule="atLeast" w:line="270" w:before="30" w:after="150"/>
        <w:ind w:firstLine="709"/>
        <w:contextualSpacing/>
        <w:jc w:val="both"/>
        <w:rPr>
          <w:i/>
          <w:i/>
          <w:iCs/>
        </w:rPr>
      </w:pPr>
      <w:r>
        <w:rPr>
          <w:i/>
          <w:iCs/>
          <w:sz w:val="28"/>
          <w:szCs w:val="28"/>
        </w:rPr>
        <w:t xml:space="preserve">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w:t>
      </w:r>
      <w:r>
        <w:rPr>
          <w:bCs/>
          <w:i/>
          <w:iCs/>
          <w:sz w:val="28"/>
          <w:szCs w:val="28"/>
        </w:rPr>
        <w:t>–</w:t>
      </w:r>
      <w:r>
        <w:rPr>
          <w:i/>
          <w:iCs/>
          <w:sz w:val="28"/>
          <w:szCs w:val="28"/>
        </w:rPr>
        <w:t xml:space="preserve"> не менше п’яти років; «спеціаліст вищої категорії» </w:t>
      </w:r>
      <w:r>
        <w:rPr>
          <w:bCs/>
          <w:i/>
          <w:iCs/>
          <w:sz w:val="28"/>
          <w:szCs w:val="28"/>
        </w:rPr>
        <w:t>–</w:t>
      </w:r>
      <w:r>
        <w:rPr>
          <w:i/>
          <w:iCs/>
          <w:sz w:val="28"/>
          <w:szCs w:val="28"/>
        </w:rPr>
        <w:t xml:space="preserve"> не менше восьми років.</w:t>
      </w:r>
    </w:p>
    <w:p>
      <w:pPr>
        <w:pStyle w:val="Normal"/>
        <w:rPr/>
      </w:pPr>
      <w:r>
        <w:rPr>
          <w:rFonts w:eastAsia="Times New Roman" w:cs="Times New Roman" w:ascii="Times New Roman" w:hAnsi="Times New Roman"/>
          <w:b/>
          <w:bCs/>
          <w:sz w:val="28"/>
          <w:szCs w:val="28"/>
          <w:lang w:eastAsia="ru-RU"/>
        </w:rPr>
        <w:t>Вимоги до вчителів нової української школи:</w:t>
      </w:r>
    </w:p>
    <w:p>
      <w:pPr>
        <w:pStyle w:val="Style20"/>
        <w:ind w:firstLine="709"/>
        <w:rPr/>
      </w:pPr>
      <w:r>
        <w:rPr>
          <w:rFonts w:cs="Arial" w:ascii="Arial" w:hAnsi="Arial"/>
          <w:b/>
          <w:bCs/>
          <w:color w:val="000000"/>
          <w:szCs w:val="28"/>
        </w:rPr>
        <w:t>Витяг із Закону про освіту</w:t>
      </w:r>
    </w:p>
    <w:p>
      <w:pPr>
        <w:pStyle w:val="Style20"/>
        <w:ind w:firstLine="709"/>
        <w:rPr/>
      </w:pPr>
      <w:r>
        <w:rPr>
          <w:rFonts w:cs="Arial" w:ascii="Arial" w:hAnsi="Arial"/>
          <w:b/>
          <w:bCs/>
          <w:color w:val="000000"/>
          <w:szCs w:val="28"/>
        </w:rPr>
        <w:t>Стаття 12</w:t>
      </w:r>
      <w:r>
        <w:rPr>
          <w:bCs/>
          <w:color w:val="000000"/>
          <w:szCs w:val="28"/>
        </w:rPr>
        <w:t>. Повна загальна середня освіта</w:t>
      </w:r>
    </w:p>
    <w:p>
      <w:pPr>
        <w:pStyle w:val="Style20"/>
        <w:ind w:firstLine="709"/>
        <w:rPr/>
      </w:pPr>
      <w:r>
        <w:rPr>
          <w:bCs/>
          <w:color w:val="000000"/>
          <w:szCs w:val="28"/>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pPr>
        <w:pStyle w:val="Style20"/>
        <w:ind w:firstLine="709"/>
        <w:rPr/>
      </w:pPr>
      <w:r>
        <w:rPr>
          <w:bCs/>
          <w:color w:val="000000"/>
          <w:szCs w:val="2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pPr>
        <w:pStyle w:val="Style20"/>
        <w:ind w:firstLine="709"/>
        <w:rPr/>
      </w:pPr>
      <w:r>
        <w:rPr>
          <w:bCs/>
          <w:color w:val="000000"/>
          <w:szCs w:val="28"/>
        </w:rPr>
        <w:t>вільне володіння державною мовою;</w:t>
      </w:r>
    </w:p>
    <w:p>
      <w:pPr>
        <w:pStyle w:val="Style20"/>
        <w:ind w:firstLine="709"/>
        <w:rPr/>
      </w:pPr>
      <w:r>
        <w:rPr>
          <w:bCs/>
          <w:color w:val="000000"/>
          <w:szCs w:val="28"/>
        </w:rPr>
        <w:t>здатність спілкуватися рідною (у разі відмінності від державної) та іноземними мовами;</w:t>
      </w:r>
    </w:p>
    <w:p>
      <w:pPr>
        <w:pStyle w:val="Style20"/>
        <w:ind w:firstLine="709"/>
        <w:rPr/>
      </w:pPr>
      <w:r>
        <w:rPr>
          <w:bCs/>
          <w:color w:val="000000"/>
          <w:szCs w:val="28"/>
        </w:rPr>
        <w:t>математична компетентність;</w:t>
      </w:r>
    </w:p>
    <w:p>
      <w:pPr>
        <w:pStyle w:val="Style20"/>
        <w:ind w:firstLine="709"/>
        <w:rPr/>
      </w:pPr>
      <w:r>
        <w:rPr>
          <w:bCs/>
          <w:color w:val="000000"/>
          <w:szCs w:val="28"/>
        </w:rPr>
        <w:t>компетентності у галузі природничих наук, техніки і технологій;</w:t>
      </w:r>
    </w:p>
    <w:p>
      <w:pPr>
        <w:pStyle w:val="Style20"/>
        <w:ind w:firstLine="709"/>
        <w:rPr/>
      </w:pPr>
      <w:r>
        <w:rPr>
          <w:bCs/>
          <w:color w:val="000000"/>
          <w:szCs w:val="28"/>
        </w:rPr>
        <w:t>інноваційність;</w:t>
      </w:r>
    </w:p>
    <w:p>
      <w:pPr>
        <w:pStyle w:val="Style20"/>
        <w:ind w:firstLine="709"/>
        <w:rPr/>
      </w:pPr>
      <w:r>
        <w:rPr>
          <w:bCs/>
          <w:color w:val="000000"/>
          <w:szCs w:val="28"/>
        </w:rPr>
        <w:t>екологічна компетентність;</w:t>
      </w:r>
    </w:p>
    <w:p>
      <w:pPr>
        <w:pStyle w:val="Style20"/>
        <w:ind w:firstLine="709"/>
        <w:rPr/>
      </w:pPr>
      <w:r>
        <w:rPr>
          <w:bCs/>
          <w:color w:val="000000"/>
          <w:szCs w:val="28"/>
        </w:rPr>
        <w:t>інформаційно-комунікаційна компетентність;</w:t>
      </w:r>
    </w:p>
    <w:p>
      <w:pPr>
        <w:pStyle w:val="Style20"/>
        <w:ind w:firstLine="709"/>
        <w:rPr/>
      </w:pPr>
      <w:r>
        <w:rPr>
          <w:bCs/>
          <w:color w:val="000000"/>
          <w:szCs w:val="28"/>
        </w:rPr>
        <w:t>навчання впродовж життя;</w:t>
      </w:r>
    </w:p>
    <w:p>
      <w:pPr>
        <w:pStyle w:val="Style20"/>
        <w:ind w:firstLine="709"/>
        <w:rPr/>
      </w:pPr>
      <w:r>
        <w:rPr>
          <w:bCs/>
          <w:color w:val="000000"/>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pPr>
        <w:pStyle w:val="Style20"/>
        <w:ind w:firstLine="709"/>
        <w:rPr/>
      </w:pPr>
      <w:r>
        <w:rPr>
          <w:bCs/>
          <w:color w:val="000000"/>
          <w:szCs w:val="28"/>
        </w:rPr>
        <w:t>культурна компетентність;</w:t>
      </w:r>
    </w:p>
    <w:p>
      <w:pPr>
        <w:pStyle w:val="Style20"/>
        <w:ind w:firstLine="709"/>
        <w:rPr/>
      </w:pPr>
      <w:r>
        <w:rPr>
          <w:bCs/>
          <w:color w:val="000000"/>
          <w:szCs w:val="28"/>
        </w:rPr>
        <w:t>підприємливість та фінансова грамотність;</w:t>
      </w:r>
    </w:p>
    <w:p>
      <w:pPr>
        <w:pStyle w:val="Style20"/>
        <w:ind w:firstLine="709"/>
        <w:rPr/>
      </w:pPr>
      <w:r>
        <w:rPr>
          <w:bCs/>
          <w:color w:val="000000"/>
          <w:szCs w:val="28"/>
        </w:rPr>
        <w:t>інші компетентності, передбачені стандартом освіти.</w:t>
      </w:r>
    </w:p>
    <w:p>
      <w:pPr>
        <w:pStyle w:val="Style20"/>
        <w:ind w:firstLine="709"/>
        <w:rPr/>
      </w:pPr>
      <w:r>
        <w:rPr>
          <w:bCs/>
          <w:color w:val="000000"/>
          <w:szCs w:val="28"/>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pPr>
        <w:pStyle w:val="Style20"/>
        <w:ind w:firstLine="709"/>
        <w:rPr>
          <w:bCs/>
          <w:color w:val="000000"/>
          <w:szCs w:val="28"/>
        </w:rPr>
      </w:pPr>
      <w:r>
        <w:rPr>
          <w:bCs/>
          <w:color w:val="000000"/>
          <w:szCs w:val="28"/>
        </w:rPr>
      </w:r>
    </w:p>
    <w:p>
      <w:pPr>
        <w:pStyle w:val="Normal"/>
        <w:spacing w:lineRule="atLeast" w:line="270" w:before="30" w:after="150"/>
        <w:ind w:firstLine="709"/>
        <w:contextualSpacing/>
        <w:jc w:val="both"/>
        <w:rPr/>
      </w:pPr>
      <w:r>
        <w:rPr>
          <w:rFonts w:eastAsia="Times New Roman" w:cs="Times New Roman" w:ascii="Times New Roman" w:hAnsi="Times New Roman"/>
          <w:b/>
          <w:bCs/>
          <w:i/>
          <w:iCs/>
          <w:sz w:val="28"/>
          <w:szCs w:val="28"/>
          <w:lang w:eastAsia="ru-RU"/>
        </w:rPr>
        <w:t xml:space="preserve">Відповідні вимоги до сучасних вчителів.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lvl w:ilvl="0">
      <w:start w:val="8"/>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uk-UA"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oto Sans CJK SC" w:cs="Lohit Devanagari"/>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ListLabel20" w:customStyle="1">
    <w:name w:val="ListLabel 20"/>
    <w:qFormat/>
    <w:rPr>
      <w:rFonts w:ascii="Times New Roman" w:hAnsi="Times New Roman" w:eastAsia="Calibri" w:cs="Times New Roman"/>
      <w:sz w:val="2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Times New Roman"/>
      <w:sz w:val="28"/>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cs="Symbol"/>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name w:val="ListLabel 46"/>
    <w:qFormat/>
    <w:rPr>
      <w:rFonts w:cs="Times New Roman"/>
      <w:sz w:val="28"/>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Times New Roman"/>
      <w:sz w:val="28"/>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rFonts w:cs="Lohit Devanagari"/>
      <w:i/>
      <w:iCs/>
      <w:sz w:val="24"/>
      <w:szCs w:val="24"/>
    </w:rPr>
  </w:style>
  <w:style w:type="paragraph" w:styleId="Style18" w:customStyle="1">
    <w:name w:val="Покажчик"/>
    <w:basedOn w:val="Normal"/>
    <w:qFormat/>
    <w:pPr>
      <w:suppressLineNumbers/>
    </w:pPr>
    <w:rPr/>
  </w:style>
  <w:style w:type="paragraph" w:styleId="Style19">
    <w:name w:val="Title"/>
    <w:basedOn w:val="Normal"/>
    <w:uiPriority w:val="10"/>
    <w:qFormat/>
    <w:pPr>
      <w:keepNext w:val="true"/>
      <w:spacing w:before="240" w:after="120"/>
    </w:pPr>
    <w:rPr>
      <w:rFonts w:ascii="Liberation Sans" w:hAnsi="Liberation Sans"/>
      <w:sz w:val="28"/>
      <w:szCs w:val="28"/>
    </w:rPr>
  </w:style>
  <w:style w:type="paragraph" w:styleId="Caption">
    <w:name w:val="caption"/>
    <w:basedOn w:val="Normal"/>
    <w:qFormat/>
    <w:pPr>
      <w:suppressLineNumbers/>
      <w:spacing w:before="120" w:after="120"/>
    </w:pPr>
    <w:rPr>
      <w:i/>
      <w:iCs/>
    </w:rPr>
  </w:style>
  <w:style w:type="paragraph" w:styleId="Style20" w:customStyle="1">
    <w:name w:val="еее"/>
    <w:basedOn w:val="Normal"/>
    <w:qFormat/>
    <w:pPr>
      <w:ind w:firstLine="426"/>
      <w:jc w:val="both"/>
    </w:pPr>
    <w:rPr>
      <w:rFonts w:ascii="Times New Roman" w:hAnsi="Times New Roman" w:eastAsia="Times New Roman" w:cs="Times New Roman"/>
      <w:sz w:val="28"/>
      <w:szCs w:val="20"/>
      <w:lang w:eastAsia="ru-RU"/>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Application>LibreOffice/6.0.7.3$Linux_X86_64 LibreOffice_project/00m0$Build-3</Application>
  <Pages>4</Pages>
  <Words>1056</Words>
  <Characters>8081</Characters>
  <CharactersWithSpaces>9110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2019-11-19T14:01:00Z</dcterms:created>
  <dc:creator/>
  <dc:description/>
  <dc:language>uk-UA</dc:language>
  <cp:lastModifiedBy>Олег Адаменко</cp:lastModifiedBy>
  <dcterms:modified xsi:type="dcterms:W3CDTF">2021-10-16T06:17:00Z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